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公司治理及管理架构信息、出资人、</w:t>
      </w:r>
      <w:r>
        <w:rPr>
          <w:rFonts w:hint="eastAsia" w:ascii="仿宋_GB2312" w:hAnsi="仿宋_GB2312" w:eastAsia="仿宋_GB2312" w:cs="仿宋_GB2312"/>
          <w:sz w:val="32"/>
          <w:szCs w:val="32"/>
        </w:rPr>
        <w:t>出资额、出资时间、出资方式等信息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/>
    <w:p/>
    <w:p/>
    <w:p>
      <w:r>
        <w:drawing>
          <wp:inline distT="0" distB="0" distL="114300" distR="114300">
            <wp:extent cx="5264150" cy="338328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14DB"/>
    <w:rsid w:val="295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2022-10-28T03:23:00Z</dcterms:created>
  <dc:creator>咖啡</dc:creator>
  <cp:lastModifiedBy>咖啡</cp:lastModifiedBy>
  <dcterms:modified xsi:type="dcterms:W3CDTF">2022-10-28T03:24:33Z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